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78" w:rsidRDefault="00BE1378" w:rsidP="00BE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20CE2202</w:t>
      </w: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STRUCT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URAL 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NALYSIS </w:t>
      </w:r>
    </w:p>
    <w:p w:rsidR="00BE1378" w:rsidRPr="0037197A" w:rsidRDefault="00BE1378" w:rsidP="00BE1378">
      <w:pPr>
        <w:pStyle w:val="Default"/>
        <w:spacing w:before="120"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308"/>
        <w:gridCol w:w="4125"/>
        <w:gridCol w:w="1073"/>
      </w:tblGrid>
      <w:tr w:rsidR="00BE1378" w:rsidRPr="000A7D91" w:rsidTr="00377365">
        <w:trPr>
          <w:trHeight w:val="360"/>
        </w:trPr>
        <w:tc>
          <w:tcPr>
            <w:tcW w:w="1081" w:type="pc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05" w:type="pc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154" w:type="pc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60" w:type="pc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1378" w:rsidRPr="000A7D91" w:rsidTr="00377365">
        <w:trPr>
          <w:trHeight w:val="360"/>
        </w:trPr>
        <w:tc>
          <w:tcPr>
            <w:tcW w:w="1081" w:type="pc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05" w:type="pc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154" w:type="pc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60" w:type="pc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BE1378" w:rsidRPr="000A7D91" w:rsidTr="00377365">
        <w:trPr>
          <w:trHeight w:val="360"/>
        </w:trPr>
        <w:tc>
          <w:tcPr>
            <w:tcW w:w="1081" w:type="pct"/>
            <w:vMerge w:val="restar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205" w:type="pct"/>
            <w:vMerge w:val="restart"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 xml:space="preserve">Engineering Mechanics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 xml:space="preserve"> Strength of Materials </w:t>
            </w:r>
          </w:p>
        </w:tc>
        <w:tc>
          <w:tcPr>
            <w:tcW w:w="2154" w:type="pct"/>
            <w:tcBorders>
              <w:bottom w:val="single" w:sz="4" w:space="0" w:color="auto"/>
            </w:tcBorders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1378" w:rsidRPr="000A7D91" w:rsidTr="00377365">
        <w:trPr>
          <w:trHeight w:val="360"/>
        </w:trPr>
        <w:tc>
          <w:tcPr>
            <w:tcW w:w="1081" w:type="pct"/>
            <w:vMerge/>
          </w:tcPr>
          <w:p w:rsidR="00BE1378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</w:tcBorders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1378" w:rsidRPr="000A7D91" w:rsidTr="00377365">
        <w:trPr>
          <w:trHeight w:val="360"/>
        </w:trPr>
        <w:tc>
          <w:tcPr>
            <w:tcW w:w="1081" w:type="pct"/>
            <w:vMerge/>
          </w:tcPr>
          <w:p w:rsidR="00BE1378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</w:tcBorders>
          </w:tcPr>
          <w:p w:rsidR="00BE1378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BE1378" w:rsidRPr="000A7D91" w:rsidRDefault="00BE137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E1378" w:rsidRPr="00437683" w:rsidRDefault="00BE1378" w:rsidP="00BE1378">
      <w:pPr>
        <w:spacing w:after="0"/>
        <w:rPr>
          <w:rFonts w:ascii="Times New Roman" w:hAnsi="Times New Roman" w:cs="Times New Roman"/>
          <w:vanish/>
        </w:rPr>
      </w:pPr>
    </w:p>
    <w:p w:rsidR="00BE1378" w:rsidRPr="00437683" w:rsidRDefault="00BE1378" w:rsidP="00BE1378">
      <w:pPr>
        <w:rPr>
          <w:rFonts w:ascii="Times New Roman" w:hAnsi="Times New Roman" w:cs="Times New Roman"/>
        </w:rPr>
      </w:pPr>
    </w:p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730"/>
        <w:gridCol w:w="7415"/>
      </w:tblGrid>
      <w:tr w:rsidR="00BE1378" w:rsidRPr="00437683" w:rsidTr="00377365">
        <w:trPr>
          <w:trHeight w:val="4303"/>
          <w:jc w:val="center"/>
        </w:trPr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26" w:type="pct"/>
            <w:gridSpan w:val="2"/>
          </w:tcPr>
          <w:p w:rsidR="00BE1378" w:rsidRDefault="00BE1378" w:rsidP="00BE1378">
            <w:pPr>
              <w:pStyle w:val="PlainText"/>
              <w:numPr>
                <w:ilvl w:val="0"/>
                <w:numId w:val="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apply the various methods for calculating slope and deflection of beams under point and uniformly distributed loads.</w:t>
            </w:r>
          </w:p>
          <w:p w:rsidR="00BE1378" w:rsidRDefault="00BE1378" w:rsidP="00BE1378">
            <w:pPr>
              <w:pStyle w:val="PlainText"/>
              <w:numPr>
                <w:ilvl w:val="0"/>
                <w:numId w:val="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calculate the crippling load of columns for different end conditions subjected to axial load and moments and estimate stresses in sections subjected to direct load and bending moment.</w:t>
            </w:r>
          </w:p>
          <w:p w:rsidR="00BE1378" w:rsidRDefault="00BE1378" w:rsidP="00BE1378">
            <w:pPr>
              <w:pStyle w:val="PlainText"/>
              <w:numPr>
                <w:ilvl w:val="0"/>
                <w:numId w:val="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analyse and draw the shear force and bending moment diagrams of propped cantilever and fixed beams under various loading conditions including the effect of sinking of supports.</w:t>
            </w:r>
          </w:p>
          <w:p w:rsidR="00BE1378" w:rsidRDefault="00BE1378" w:rsidP="00BE1378">
            <w:pPr>
              <w:pStyle w:val="PlainText"/>
              <w:numPr>
                <w:ilvl w:val="0"/>
                <w:numId w:val="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analyze and draw the shear force and bending moment diagrams of continuous beams using Clapeyron’s theorem of three moments.</w:t>
            </w:r>
          </w:p>
          <w:p w:rsidR="00BE1378" w:rsidRDefault="00BE1378" w:rsidP="00BE1378">
            <w:pPr>
              <w:pStyle w:val="PlainText"/>
              <w:numPr>
                <w:ilvl w:val="0"/>
                <w:numId w:val="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understand the concept of energy theorems and calculate the slope and deflection of beams and trusses.</w:t>
            </w:r>
          </w:p>
          <w:p w:rsidR="00BE1378" w:rsidRPr="00752226" w:rsidRDefault="00BE1378" w:rsidP="00BE13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1C2">
              <w:rPr>
                <w:rFonts w:ascii="Times New Roman" w:hAnsi="Times New Roman"/>
                <w:sz w:val="24"/>
                <w:szCs w:val="24"/>
              </w:rPr>
              <w:t xml:space="preserve">To calculate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support reactions, </w:t>
            </w:r>
            <w:r w:rsidRPr="006301C2">
              <w:rPr>
                <w:rFonts w:ascii="Times New Roman" w:hAnsi="Times New Roman"/>
                <w:sz w:val="24"/>
                <w:szCs w:val="24"/>
              </w:rPr>
              <w:t>shear force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301C2">
              <w:rPr>
                <w:rFonts w:ascii="Times New Roman" w:hAnsi="Times New Roman"/>
                <w:sz w:val="24"/>
                <w:szCs w:val="24"/>
              </w:rPr>
              <w:t xml:space="preserve"> and bending moment of determinate s</w:t>
            </w:r>
            <w:r>
              <w:rPr>
                <w:rFonts w:ascii="Times New Roman" w:hAnsi="Times New Roman"/>
                <w:sz w:val="24"/>
                <w:szCs w:val="24"/>
              </w:rPr>
              <w:t>tructures using influence line diagram method.</w:t>
            </w:r>
          </w:p>
        </w:tc>
      </w:tr>
      <w:tr w:rsidR="00BE1378" w:rsidRPr="00437683" w:rsidTr="00377365">
        <w:trPr>
          <w:trHeight w:val="427"/>
          <w:jc w:val="center"/>
        </w:trPr>
        <w:tc>
          <w:tcPr>
            <w:tcW w:w="774" w:type="pct"/>
            <w:vMerge w:val="restart"/>
          </w:tcPr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9" w:type="pct"/>
            <w:vAlign w:val="center"/>
          </w:tcPr>
          <w:p w:rsidR="00BE1378" w:rsidRPr="00437683" w:rsidRDefault="00BE1378" w:rsidP="003773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7" w:type="pct"/>
            <w:vAlign w:val="center"/>
          </w:tcPr>
          <w:p w:rsidR="00BE1378" w:rsidRPr="00E07475" w:rsidRDefault="00BE1378" w:rsidP="0037736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Determine the slope and deflection of determinate beam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under various loading conditions.</w:t>
            </w:r>
          </w:p>
        </w:tc>
      </w:tr>
      <w:tr w:rsidR="00BE1378" w:rsidRPr="00437683" w:rsidTr="00377365">
        <w:trPr>
          <w:trHeight w:val="121"/>
          <w:jc w:val="center"/>
        </w:trPr>
        <w:tc>
          <w:tcPr>
            <w:tcW w:w="774" w:type="pct"/>
            <w:vMerge/>
          </w:tcPr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1378" w:rsidRPr="00437683" w:rsidRDefault="00BE1378" w:rsidP="003773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7" w:type="pct"/>
            <w:vAlign w:val="center"/>
          </w:tcPr>
          <w:p w:rsidR="00BE1378" w:rsidRPr="00E07475" w:rsidRDefault="00BE1378" w:rsidP="0037736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the columns subjected to different loading conditions and also calculate</w:t>
            </w:r>
            <w:r w:rsidRPr="00DE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DE4EAB">
              <w:rPr>
                <w:rFonts w:ascii="Times New Roman" w:hAnsi="Times New Roman"/>
                <w:sz w:val="24"/>
                <w:szCs w:val="24"/>
              </w:rPr>
              <w:t xml:space="preserve">stresses subjected to direct load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bending </w:t>
            </w:r>
            <w:r w:rsidRPr="00DE4EAB">
              <w:rPr>
                <w:rFonts w:ascii="Times New Roman" w:hAnsi="Times New Roman"/>
                <w:sz w:val="24"/>
                <w:szCs w:val="24"/>
              </w:rPr>
              <w:t>moment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1378" w:rsidRPr="00437683" w:rsidTr="00377365">
        <w:trPr>
          <w:trHeight w:val="100"/>
          <w:jc w:val="center"/>
        </w:trPr>
        <w:tc>
          <w:tcPr>
            <w:tcW w:w="774" w:type="pct"/>
            <w:vMerge/>
          </w:tcPr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1378" w:rsidRPr="00437683" w:rsidRDefault="00BE1378" w:rsidP="003773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7" w:type="pct"/>
            <w:vAlign w:val="center"/>
          </w:tcPr>
          <w:p w:rsidR="00BE1378" w:rsidRPr="00E07475" w:rsidRDefault="00BE1378" w:rsidP="0037736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Calculate and draw </w:t>
            </w:r>
            <w:r>
              <w:rPr>
                <w:rFonts w:ascii="Times New Roman" w:hAnsi="Times New Roman"/>
                <w:sz w:val="24"/>
                <w:szCs w:val="24"/>
              </w:rPr>
              <w:t>shear force diagram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bending moment diagram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for propped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cantilever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and fixed beams.</w:t>
            </w:r>
          </w:p>
        </w:tc>
      </w:tr>
      <w:tr w:rsidR="00BE1378" w:rsidRPr="00437683" w:rsidTr="00377365">
        <w:trPr>
          <w:trHeight w:val="100"/>
          <w:jc w:val="center"/>
        </w:trPr>
        <w:tc>
          <w:tcPr>
            <w:tcW w:w="774" w:type="pct"/>
            <w:vMerge/>
          </w:tcPr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1378" w:rsidRPr="00437683" w:rsidRDefault="00BE1378" w:rsidP="003773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7" w:type="pct"/>
            <w:vAlign w:val="center"/>
          </w:tcPr>
          <w:p w:rsidR="00BE1378" w:rsidRPr="00E07475" w:rsidRDefault="00BE1378" w:rsidP="0037736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Calculate and draw </w:t>
            </w:r>
            <w:r>
              <w:rPr>
                <w:rFonts w:ascii="Times New Roman" w:hAnsi="Times New Roman"/>
                <w:sz w:val="24"/>
                <w:szCs w:val="24"/>
              </w:rPr>
              <w:t>shear force diagram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bending moment diagram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for continuous beams using Clapeyron’s theorem. </w:t>
            </w:r>
          </w:p>
        </w:tc>
      </w:tr>
      <w:tr w:rsidR="00BE1378" w:rsidRPr="00437683" w:rsidTr="00377365">
        <w:trPr>
          <w:trHeight w:val="691"/>
          <w:jc w:val="center"/>
        </w:trPr>
        <w:tc>
          <w:tcPr>
            <w:tcW w:w="774" w:type="pct"/>
            <w:vMerge/>
          </w:tcPr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1378" w:rsidRPr="00437683" w:rsidRDefault="00BE1378" w:rsidP="0037736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7" w:type="pct"/>
            <w:vAlign w:val="center"/>
          </w:tcPr>
          <w:p w:rsidR="00BE1378" w:rsidRDefault="00BE1378" w:rsidP="003773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the energy theorems for determining slope and deflection of beams and trusses.</w:t>
            </w:r>
          </w:p>
        </w:tc>
      </w:tr>
      <w:tr w:rsidR="00BE1378" w:rsidRPr="00437683" w:rsidTr="00377365">
        <w:trPr>
          <w:trHeight w:val="562"/>
          <w:jc w:val="center"/>
        </w:trPr>
        <w:tc>
          <w:tcPr>
            <w:tcW w:w="774" w:type="pct"/>
            <w:vMerge/>
            <w:tcBorders>
              <w:bottom w:val="single" w:sz="4" w:space="0" w:color="auto"/>
            </w:tcBorders>
          </w:tcPr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1378" w:rsidRPr="00437683" w:rsidRDefault="00BE1378" w:rsidP="0037736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7" w:type="pct"/>
            <w:vAlign w:val="center"/>
          </w:tcPr>
          <w:p w:rsidR="00BE1378" w:rsidRDefault="00BE1378" w:rsidP="003773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determinate beams subjected to moving loads using </w:t>
            </w:r>
            <w:r>
              <w:rPr>
                <w:rFonts w:ascii="Times New Roman" w:hAnsi="Times New Roman"/>
                <w:sz w:val="24"/>
                <w:szCs w:val="24"/>
              </w:rPr>
              <w:t>influence line diagram method.</w:t>
            </w:r>
          </w:p>
        </w:tc>
      </w:tr>
      <w:tr w:rsidR="00BE1378" w:rsidRPr="00437683" w:rsidTr="00377365">
        <w:trPr>
          <w:trHeight w:val="266"/>
          <w:jc w:val="center"/>
        </w:trPr>
        <w:tc>
          <w:tcPr>
            <w:tcW w:w="774" w:type="pct"/>
          </w:tcPr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4226" w:type="pct"/>
            <w:gridSpan w:val="2"/>
          </w:tcPr>
          <w:p w:rsidR="00BE1378" w:rsidRDefault="00BE1378" w:rsidP="0037736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378" w:rsidRPr="00E07475" w:rsidRDefault="00BE1378" w:rsidP="0037736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BE1378" w:rsidRPr="00084A84" w:rsidRDefault="00BE1378" w:rsidP="0037736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SLOPE AND DEFLECTION OF STATICALLY DETERMINATE BEAMS: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Relationship between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curvature, slope and deflection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(Differential equation for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elastic line of a beam) </w:t>
            </w:r>
            <w:r w:rsidRPr="0043768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Slope and deflection of cantilevers and simply supported beams by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double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integration method,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Macaulay’s method,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moment area method and conjugate beam method for point loa</w:t>
            </w:r>
            <w:r>
              <w:rPr>
                <w:rFonts w:ascii="Times New Roman" w:hAnsi="Times New Roman"/>
                <w:sz w:val="24"/>
                <w:szCs w:val="24"/>
              </w:rPr>
              <w:t>ds, uniformly distributed loads and combination of these loads.</w:t>
            </w:r>
          </w:p>
          <w:p w:rsidR="00BE1378" w:rsidRDefault="00BE1378" w:rsidP="0037736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378" w:rsidRPr="00E07475" w:rsidRDefault="00BE1378" w:rsidP="00377365">
            <w:pPr>
              <w:pStyle w:val="PlainText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BE1378" w:rsidRDefault="00BE1378" w:rsidP="003773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COLUMNS: </w:t>
            </w:r>
            <w:r w:rsidRPr="00846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469FD">
              <w:rPr>
                <w:rFonts w:ascii="Times New Roman" w:eastAsia="Times New Roman" w:hAnsi="Times New Roman" w:cs="Times New Roman"/>
                <w:sz w:val="24"/>
                <w:szCs w:val="24"/>
              </w:rPr>
              <w:t>Unsupported and effective lengths of columns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Slenderness ratio – Types of columns – Types of failure of columns – Crippling load - Assumptions made in Euler’s theory – Expressions for Euler’s crippling load of columns for various end conditions - limitations of Euler’s theory.</w:t>
            </w:r>
          </w:p>
          <w:p w:rsidR="00BE1378" w:rsidRDefault="00BE1378" w:rsidP="003773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 AND BENDING 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TRESSES: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Stresses under the combined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 of direct loading and bending moment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Core of a section – Circular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rectangular (solid and hollow)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1378" w:rsidRDefault="00BE1378" w:rsidP="00377365">
            <w:pPr>
              <w:pStyle w:val="PlainText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BE1378" w:rsidRDefault="00BE1378" w:rsidP="00377365">
            <w:pPr>
              <w:pStyle w:val="PlainText"/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ANALYSIS OF STATICALLY INDETERMINATE B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EAMS: </w:t>
            </w:r>
          </w:p>
          <w:p w:rsidR="00BE1378" w:rsidRDefault="00BE1378" w:rsidP="0037736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PROPPED CANTILEVER BEAMS: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Analysis of propped cantilevers for point loads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uniformly distributed </w:t>
            </w:r>
            <w:r>
              <w:rPr>
                <w:rFonts w:ascii="Times New Roman" w:hAnsi="Times New Roman"/>
                <w:sz w:val="24"/>
                <w:szCs w:val="24"/>
              </w:rPr>
              <w:t>loads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– Shear force and bending moment diagrams.</w:t>
            </w:r>
          </w:p>
          <w:p w:rsidR="00BE1378" w:rsidRDefault="00BE1378" w:rsidP="0037736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FIXED BEAMS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: Analysis of fixed beams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point loads,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uniformly distributed </w:t>
            </w:r>
            <w:r>
              <w:rPr>
                <w:rFonts w:ascii="Times New Roman" w:hAnsi="Times New Roman"/>
                <w:sz w:val="24"/>
                <w:szCs w:val="24"/>
              </w:rPr>
              <w:t>loads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, uniformly varying load, shear force and bending moment diagrams–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Effect of sinking of supports.</w:t>
            </w:r>
          </w:p>
          <w:p w:rsidR="00BE1378" w:rsidRDefault="00BE1378" w:rsidP="00377365">
            <w:pPr>
              <w:pStyle w:val="PlainText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378" w:rsidRPr="00E07475" w:rsidRDefault="00BE1378" w:rsidP="00377365">
            <w:pPr>
              <w:pStyle w:val="PlainText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BE1378" w:rsidRPr="00E07475" w:rsidRDefault="00BE1378" w:rsidP="00377365">
            <w:pPr>
              <w:pStyle w:val="PlainText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ANALYSIS OF CONTINUOUS B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EAMS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Introduction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Clapeyron’s theorem of three moments – Analysis of continuous beams with constant moment of inertia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one or both ends fixed – Continuous beam with overhang –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Effect of sinking of supports – Shear force and bending moment diagrams.</w:t>
            </w:r>
          </w:p>
          <w:p w:rsidR="00BE1378" w:rsidRPr="00E07475" w:rsidRDefault="00BE1378" w:rsidP="0037736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column"/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BE1378" w:rsidRDefault="00BE1378" w:rsidP="00377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ENERGY THEOREMS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: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rain energy due to axial load, b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ending moment and shear force – Castigl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iano’s first theorem for beams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– Castigliano’s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theorem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indeterminate trusses.</w:t>
            </w:r>
          </w:p>
          <w:p w:rsidR="00BE1378" w:rsidRDefault="00BE1378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BE1378" w:rsidRDefault="00BE1378" w:rsidP="0037736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INFLUENCE LINES: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Influence lines for reactions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shear force 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bending moment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determinate structures – Maximum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shear force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bending moment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single, two and multipoint loads – UDL longer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 span - UDL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shorter than span and EUDL.</w:t>
            </w:r>
          </w:p>
          <w:p w:rsidR="00BE1378" w:rsidRPr="00BC68B8" w:rsidRDefault="00BE1378" w:rsidP="0037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78" w:rsidRPr="00437683" w:rsidTr="00377365">
        <w:trPr>
          <w:trHeight w:val="266"/>
          <w:jc w:val="center"/>
        </w:trPr>
        <w:tc>
          <w:tcPr>
            <w:tcW w:w="774" w:type="pct"/>
          </w:tcPr>
          <w:p w:rsidR="00BE1378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378" w:rsidRPr="00437683" w:rsidRDefault="00BE137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Reference books</w:t>
            </w:r>
          </w:p>
        </w:tc>
        <w:tc>
          <w:tcPr>
            <w:tcW w:w="4226" w:type="pct"/>
            <w:gridSpan w:val="2"/>
          </w:tcPr>
          <w:p w:rsidR="00BE1378" w:rsidRDefault="00BE1378" w:rsidP="0037736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378" w:rsidRPr="00E07475" w:rsidRDefault="00BE1378" w:rsidP="00377365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E1378" w:rsidRDefault="00BE1378" w:rsidP="00BE1378">
            <w:pPr>
              <w:pStyle w:val="PlainTex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T.S. Thandavamoorthy, </w:t>
            </w:r>
            <w:r w:rsidRPr="00051A27">
              <w:rPr>
                <w:rFonts w:ascii="Times New Roman" w:hAnsi="Times New Roman"/>
                <w:i/>
                <w:sz w:val="24"/>
                <w:szCs w:val="24"/>
              </w:rPr>
              <w:t>Structural Analysis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A91C5A">
              <w:rPr>
                <w:rFonts w:ascii="Times New Roman" w:hAnsi="Times New Roman"/>
                <w:sz w:val="24"/>
                <w:szCs w:val="24"/>
              </w:rPr>
              <w:t>Oxford University Press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4BA3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edition, </w:t>
            </w:r>
            <w:r w:rsidRPr="00051A27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378" w:rsidRDefault="00BE1378" w:rsidP="00BE1378">
            <w:pPr>
              <w:pStyle w:val="PlainTex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DB2EE2">
              <w:rPr>
                <w:rFonts w:ascii="Times New Roman" w:hAnsi="Times New Roman"/>
                <w:sz w:val="24"/>
                <w:szCs w:val="24"/>
              </w:rPr>
              <w:t>Vaid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DB2EE2">
              <w:rPr>
                <w:rFonts w:ascii="Times New Roman" w:hAnsi="Times New Roman"/>
                <w:sz w:val="24"/>
                <w:szCs w:val="24"/>
              </w:rPr>
              <w:t>anathan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2EE2">
              <w:rPr>
                <w:rFonts w:ascii="Times New Roman" w:hAnsi="Times New Roman"/>
                <w:sz w:val="24"/>
                <w:szCs w:val="24"/>
              </w:rPr>
              <w:t xml:space="preserve">Dr. P. Perumal, </w:t>
            </w:r>
            <w:r w:rsidRPr="00DB2EE2">
              <w:rPr>
                <w:rFonts w:ascii="Times New Roman" w:hAnsi="Times New Roman"/>
                <w:i/>
                <w:sz w:val="24"/>
                <w:szCs w:val="24"/>
              </w:rPr>
              <w:t>Structural Analysis</w:t>
            </w:r>
            <w:r w:rsidRPr="00DB2E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EE2">
              <w:rPr>
                <w:rFonts w:ascii="Times New Roman" w:hAnsi="Times New Roman"/>
                <w:sz w:val="24"/>
                <w:szCs w:val="24"/>
              </w:rPr>
              <w:t>Laxmi Publications</w:t>
            </w:r>
            <w:r>
              <w:rPr>
                <w:rFonts w:ascii="Times New Roman" w:hAnsi="Times New Roman"/>
                <w:sz w:val="24"/>
                <w:szCs w:val="24"/>
              </w:rPr>
              <w:t>, 3</w:t>
            </w:r>
            <w:r w:rsidRPr="00CF4BA3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(Revised) edition, 2019.</w:t>
            </w:r>
          </w:p>
          <w:p w:rsidR="00BE1378" w:rsidRPr="00E07475" w:rsidRDefault="00BE1378" w:rsidP="00BE1378">
            <w:pPr>
              <w:pStyle w:val="PlainTex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R.K. Bansal, </w:t>
            </w:r>
            <w:r w:rsidRPr="00DB2EE2">
              <w:rPr>
                <w:rFonts w:ascii="Times New Roman" w:hAnsi="Times New Roman"/>
                <w:i/>
                <w:sz w:val="24"/>
                <w:szCs w:val="24"/>
              </w:rPr>
              <w:t>A Text Book of Strength of Materials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1C5A">
              <w:rPr>
                <w:rFonts w:ascii="Times New Roman" w:hAnsi="Times New Roman"/>
                <w:sz w:val="24"/>
                <w:szCs w:val="24"/>
              </w:rPr>
              <w:t>Laxmi Publications</w:t>
            </w:r>
            <w:r>
              <w:rPr>
                <w:rFonts w:ascii="Times New Roman" w:hAnsi="Times New Roman"/>
                <w:sz w:val="24"/>
                <w:szCs w:val="24"/>
              </w:rPr>
              <w:t>, 6</w:t>
            </w:r>
            <w:r w:rsidRPr="00DB2EE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edition, 2019.</w:t>
            </w:r>
          </w:p>
          <w:p w:rsidR="00BE1378" w:rsidRDefault="00BE1378" w:rsidP="00377365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378" w:rsidRPr="00E07475" w:rsidRDefault="00BE1378" w:rsidP="00377365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  <w:r w:rsidRPr="00D611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E1378" w:rsidRPr="00FC322A" w:rsidRDefault="00BE1378" w:rsidP="00BE1378">
            <w:pPr>
              <w:pStyle w:val="ListParagraph"/>
              <w:numPr>
                <w:ilvl w:val="0"/>
                <w:numId w:val="3"/>
              </w:numPr>
              <w:spacing w:after="0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22A">
              <w:rPr>
                <w:rFonts w:ascii="Times New Roman" w:hAnsi="Times New Roman"/>
                <w:sz w:val="24"/>
                <w:szCs w:val="24"/>
              </w:rPr>
              <w:t xml:space="preserve">G.S. Pandit, S.P. Gupta, R. Gupta, </w:t>
            </w:r>
            <w:r w:rsidRPr="00FC322A">
              <w:rPr>
                <w:rFonts w:ascii="Times New Roman" w:hAnsi="Times New Roman"/>
                <w:i/>
                <w:sz w:val="24"/>
                <w:szCs w:val="24"/>
              </w:rPr>
              <w:t>Theory of Structures</w:t>
            </w:r>
            <w:r w:rsidRPr="00FC322A">
              <w:rPr>
                <w:rFonts w:ascii="Times New Roman" w:hAnsi="Times New Roman"/>
                <w:sz w:val="24"/>
                <w:szCs w:val="24"/>
              </w:rPr>
              <w:t>, Vol.I, McGraw Hill Publications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378" w:rsidRDefault="00BE1378" w:rsidP="00BE1378">
            <w:pPr>
              <w:pStyle w:val="PlainText"/>
              <w:numPr>
                <w:ilvl w:val="0"/>
                <w:numId w:val="3"/>
              </w:numPr>
              <w:spacing w:line="276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C.K.Wang, </w:t>
            </w:r>
            <w:r w:rsidRPr="00FC322A">
              <w:rPr>
                <w:rFonts w:ascii="Times New Roman" w:hAnsi="Times New Roman"/>
                <w:i/>
                <w:sz w:val="24"/>
                <w:szCs w:val="24"/>
              </w:rPr>
              <w:t>Intermediate Structural Analysis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1C5A">
              <w:rPr>
                <w:rFonts w:ascii="Times New Roman" w:hAnsi="Times New Roman"/>
                <w:sz w:val="24"/>
                <w:szCs w:val="24"/>
              </w:rPr>
              <w:t>McGraw Hill Education</w:t>
            </w:r>
            <w:r>
              <w:rPr>
                <w:rFonts w:ascii="Times New Roman" w:hAnsi="Times New Roman"/>
                <w:sz w:val="24"/>
                <w:szCs w:val="24"/>
              </w:rPr>
              <w:t>, Indian edition, 2017.</w:t>
            </w:r>
          </w:p>
          <w:p w:rsidR="00BE1378" w:rsidRPr="00734F27" w:rsidRDefault="00BE1378" w:rsidP="00BE1378">
            <w:pPr>
              <w:pStyle w:val="ListParagraph"/>
              <w:numPr>
                <w:ilvl w:val="0"/>
                <w:numId w:val="3"/>
              </w:numPr>
              <w:spacing w:after="0"/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27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 Vazirani and </w:t>
            </w:r>
            <w:r w:rsidRPr="00734F2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F27">
              <w:rPr>
                <w:rFonts w:ascii="Times New Roman" w:hAnsi="Times New Roman" w:cs="Times New Roman"/>
                <w:sz w:val="24"/>
                <w:szCs w:val="24"/>
              </w:rPr>
              <w:t>M. Ratwani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322A">
              <w:rPr>
                <w:rFonts w:ascii="Times New Roman" w:hAnsi="Times New Roman" w:cs="Times New Roman"/>
                <w:i/>
                <w:sz w:val="24"/>
                <w:szCs w:val="24"/>
              </w:rPr>
              <w:t>Analysis of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330">
              <w:rPr>
                <w:rFonts w:ascii="Times New Roman" w:hAnsi="Times New Roman" w:cs="Times New Roman"/>
                <w:i/>
                <w:sz w:val="24"/>
                <w:szCs w:val="24"/>
              </w:rPr>
              <w:t>Vol. I &amp;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Khanna Publishers, 17</w:t>
            </w:r>
            <w:r w:rsidRPr="00CF4B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BE1378" w:rsidRPr="00437683" w:rsidRDefault="00BE1378" w:rsidP="0037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1378" w:rsidRDefault="00BE1378" w:rsidP="00BE1378">
      <w:pPr>
        <w:rPr>
          <w:rFonts w:ascii="Times New Roman" w:hAnsi="Times New Roman" w:cs="Times New Roman"/>
          <w:b/>
          <w:sz w:val="24"/>
          <w:szCs w:val="24"/>
        </w:rPr>
      </w:pPr>
    </w:p>
    <w:p w:rsidR="00BE1378" w:rsidRPr="001A2F99" w:rsidRDefault="00BE1378" w:rsidP="00BE1378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702"/>
        <w:gridCol w:w="713"/>
        <w:gridCol w:w="712"/>
        <w:gridCol w:w="712"/>
        <w:gridCol w:w="712"/>
        <w:gridCol w:w="712"/>
        <w:gridCol w:w="712"/>
        <w:gridCol w:w="712"/>
        <w:gridCol w:w="712"/>
        <w:gridCol w:w="818"/>
        <w:gridCol w:w="818"/>
        <w:gridCol w:w="818"/>
      </w:tblGrid>
      <w:tr w:rsidR="00BE1378" w:rsidRPr="00502EF3" w:rsidTr="00377365">
        <w:trPr>
          <w:trHeight w:val="28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1C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1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E1378" w:rsidRPr="00502EF3" w:rsidTr="00377365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1B"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378" w:rsidRPr="00502EF3" w:rsidTr="00377365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1B"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378" w:rsidRPr="00502EF3" w:rsidTr="00377365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1B"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378" w:rsidRPr="00502EF3" w:rsidTr="00377365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1B"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378" w:rsidRPr="00502EF3" w:rsidTr="00377365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1B"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378" w:rsidRPr="00502EF3" w:rsidTr="00377365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1B"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78" w:rsidRPr="00496B79" w:rsidRDefault="00BE1378" w:rsidP="003773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4C2A" w:rsidRDefault="00234C2A"/>
    <w:sectPr w:rsidR="002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12"/>
    <w:rsid w:val="00234C2A"/>
    <w:rsid w:val="008B2412"/>
    <w:rsid w:val="00B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98926-3E57-49CF-8BAE-713889A8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137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E1378"/>
    <w:rPr>
      <w:rFonts w:ascii="Calibri" w:eastAsia="Calibri" w:hAnsi="Calibri" w:cs="Gautami"/>
    </w:rPr>
  </w:style>
  <w:style w:type="paragraph" w:customStyle="1" w:styleId="Default">
    <w:name w:val="Default"/>
    <w:rsid w:val="00BE13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E1378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BE1378"/>
    <w:rPr>
      <w:rFonts w:ascii="Consolas" w:eastAsia="Calibri" w:hAnsi="Consolas" w:cs="Times New Roman"/>
      <w:sz w:val="21"/>
      <w:szCs w:val="21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2021-11-21T13:58:00Z</dcterms:created>
  <dcterms:modified xsi:type="dcterms:W3CDTF">2021-11-21T13:58:00Z</dcterms:modified>
</cp:coreProperties>
</file>